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1B2BE" w14:textId="77777777" w:rsidR="00EC7D92" w:rsidRDefault="00EC7D92">
      <w:pPr>
        <w:pStyle w:val="Body"/>
        <w:rPr>
          <w:rFonts w:ascii="Arial" w:hAnsi="Arial"/>
          <w:color w:val="202020"/>
          <w:u w:color="202020"/>
          <w:shd w:val="clear" w:color="auto" w:fill="FFFFFF"/>
        </w:rPr>
      </w:pPr>
    </w:p>
    <w:p w14:paraId="6F42CFD4" w14:textId="77777777" w:rsidR="00EC7D92" w:rsidRDefault="00EC7D92">
      <w:pPr>
        <w:pStyle w:val="Body"/>
        <w:rPr>
          <w:rFonts w:ascii="Arial" w:hAnsi="Arial"/>
          <w:color w:val="202020"/>
          <w:u w:color="202020"/>
          <w:shd w:val="clear" w:color="auto" w:fill="FFFFFF"/>
        </w:rPr>
      </w:pPr>
    </w:p>
    <w:p w14:paraId="0CD3E74A" w14:textId="2D81BB98" w:rsidR="002A338E" w:rsidRDefault="002A338E" w:rsidP="002A338E">
      <w:pPr>
        <w:pStyle w:val="BodyA"/>
        <w:spacing w:after="0" w:line="240" w:lineRule="auto"/>
        <w:rPr>
          <w:color w:val="auto"/>
          <w:sz w:val="36"/>
          <w:szCs w:val="36"/>
          <w:lang w:val="en-US"/>
        </w:rPr>
      </w:pPr>
      <w:r>
        <w:rPr>
          <w:sz w:val="36"/>
          <w:szCs w:val="36"/>
          <w:lang w:val="en-US"/>
        </w:rPr>
        <w:t xml:space="preserve">Bellator </w:t>
      </w:r>
      <w:r w:rsidRPr="001C4FCE">
        <w:rPr>
          <w:color w:val="auto"/>
          <w:sz w:val="36"/>
          <w:szCs w:val="36"/>
          <w:lang w:val="en-US"/>
        </w:rPr>
        <w:t>Blood Borne Pathogen Program</w:t>
      </w:r>
      <w:r w:rsidRPr="001C4FCE" w:rsidDel="00FB6089">
        <w:rPr>
          <w:color w:val="auto"/>
          <w:sz w:val="36"/>
          <w:szCs w:val="36"/>
          <w:lang w:val="en-US"/>
        </w:rPr>
        <w:t xml:space="preserve"> </w:t>
      </w:r>
    </w:p>
    <w:p w14:paraId="650677B4" w14:textId="3054F1FF" w:rsidR="002A338E" w:rsidRDefault="002A338E" w:rsidP="002A338E">
      <w:pPr>
        <w:pStyle w:val="BodyA"/>
        <w:spacing w:after="0" w:line="240" w:lineRule="auto"/>
        <w:rPr>
          <w:color w:val="auto"/>
          <w:sz w:val="36"/>
          <w:szCs w:val="36"/>
          <w:lang w:val="en-US"/>
        </w:rPr>
      </w:pPr>
    </w:p>
    <w:p w14:paraId="45D48905" w14:textId="10DCD59B" w:rsidR="002A338E" w:rsidRPr="002A338E" w:rsidRDefault="002A338E" w:rsidP="002A338E">
      <w:pPr>
        <w:pStyle w:val="BodyA"/>
        <w:spacing w:after="0" w:line="240" w:lineRule="auto"/>
        <w:rPr>
          <w:sz w:val="24"/>
          <w:szCs w:val="24"/>
          <w:lang w:val="en-US"/>
        </w:rPr>
      </w:pPr>
      <w:r w:rsidRPr="002A338E">
        <w:rPr>
          <w:color w:val="auto"/>
          <w:sz w:val="24"/>
          <w:szCs w:val="24"/>
          <w:lang w:val="en-US"/>
        </w:rPr>
        <w:t>Revised: June 2023</w:t>
      </w:r>
    </w:p>
    <w:p w14:paraId="385CC073" w14:textId="77777777" w:rsidR="002A338E" w:rsidRDefault="002A338E" w:rsidP="002A338E">
      <w:pPr>
        <w:pStyle w:val="BodyA"/>
        <w:spacing w:after="0" w:line="240" w:lineRule="auto"/>
        <w:rPr>
          <w:sz w:val="36"/>
          <w:szCs w:val="36"/>
          <w:lang w:val="en-US"/>
        </w:rPr>
      </w:pPr>
      <w:r>
        <w:rPr>
          <w:sz w:val="36"/>
          <w:szCs w:val="36"/>
          <w:lang w:val="en-US"/>
        </w:rPr>
        <w:t xml:space="preserve"> </w:t>
      </w:r>
    </w:p>
    <w:p w14:paraId="594FC8F4" w14:textId="77777777" w:rsidR="002A338E" w:rsidRPr="002A338E" w:rsidRDefault="002A338E" w:rsidP="002A338E">
      <w:pPr>
        <w:pStyle w:val="BodyA"/>
        <w:rPr>
          <w:sz w:val="28"/>
          <w:szCs w:val="28"/>
          <w:lang w:val="en-US"/>
        </w:rPr>
      </w:pPr>
      <w:r w:rsidRPr="002A338E">
        <w:rPr>
          <w:sz w:val="28"/>
          <w:szCs w:val="28"/>
          <w:lang w:val="en-US"/>
        </w:rPr>
        <w:t xml:space="preserve">All employees will follow Universal Precautions </w:t>
      </w:r>
      <w:proofErr w:type="gramStart"/>
      <w:r w:rsidRPr="002A338E">
        <w:rPr>
          <w:sz w:val="28"/>
          <w:szCs w:val="28"/>
          <w:lang w:val="en-US"/>
        </w:rPr>
        <w:t>in regard to</w:t>
      </w:r>
      <w:proofErr w:type="gramEnd"/>
      <w:r w:rsidRPr="002A338E">
        <w:rPr>
          <w:sz w:val="28"/>
          <w:szCs w:val="28"/>
          <w:lang w:val="en-US"/>
        </w:rPr>
        <w:t xml:space="preserve"> contact with blood or other potentially infectious material (OPIM) of persons who have not been previously tested and proven free of blood borne pathogens.  The only persons who have received this testing are the Bellator fighters.  </w:t>
      </w:r>
    </w:p>
    <w:p w14:paraId="64DD15ED" w14:textId="77777777" w:rsidR="002A338E" w:rsidRPr="002A338E" w:rsidRDefault="002A338E" w:rsidP="002A338E">
      <w:pPr>
        <w:pStyle w:val="BodyA"/>
        <w:rPr>
          <w:sz w:val="28"/>
          <w:szCs w:val="28"/>
          <w:u w:val="single"/>
          <w:lang w:val="en-US"/>
        </w:rPr>
      </w:pPr>
      <w:r w:rsidRPr="002A338E">
        <w:rPr>
          <w:sz w:val="28"/>
          <w:szCs w:val="28"/>
          <w:u w:val="single"/>
          <w:lang w:val="en-US"/>
        </w:rPr>
        <w:t>Fighter Testing Protocol</w:t>
      </w:r>
    </w:p>
    <w:p w14:paraId="109F0469" w14:textId="77777777" w:rsidR="002A338E" w:rsidRPr="002A338E" w:rsidRDefault="002A338E" w:rsidP="002A338E">
      <w:pPr>
        <w:pStyle w:val="BodyA"/>
        <w:rPr>
          <w:sz w:val="28"/>
          <w:szCs w:val="28"/>
          <w:lang w:val="en-US"/>
        </w:rPr>
      </w:pPr>
      <w:r w:rsidRPr="002A338E">
        <w:rPr>
          <w:sz w:val="28"/>
          <w:szCs w:val="28"/>
          <w:lang w:val="en-US"/>
        </w:rPr>
        <w:t>Testing is performed by an independent laboratory such as LabCorp or Quest Diagnostics following established protocols.  All fighters must show negative/non-reactive for the following:</w:t>
      </w:r>
    </w:p>
    <w:p w14:paraId="3F78E56B" w14:textId="77777777" w:rsidR="002A338E" w:rsidRPr="002A338E" w:rsidRDefault="002A338E" w:rsidP="002A338E">
      <w:pPr>
        <w:pStyle w:val="BodyA"/>
        <w:numPr>
          <w:ilvl w:val="0"/>
          <w:numId w:val="3"/>
        </w:numPr>
        <w:rPr>
          <w:sz w:val="28"/>
          <w:szCs w:val="28"/>
          <w:lang w:val="en-US"/>
        </w:rPr>
      </w:pPr>
      <w:r w:rsidRPr="002A338E">
        <w:rPr>
          <w:sz w:val="28"/>
          <w:szCs w:val="28"/>
          <w:lang w:val="en-US"/>
        </w:rPr>
        <w:t>HIV</w:t>
      </w:r>
    </w:p>
    <w:p w14:paraId="1C061955" w14:textId="77777777" w:rsidR="002A338E" w:rsidRPr="002A338E" w:rsidRDefault="002A338E" w:rsidP="002A338E">
      <w:pPr>
        <w:pStyle w:val="BodyA"/>
        <w:numPr>
          <w:ilvl w:val="0"/>
          <w:numId w:val="3"/>
        </w:numPr>
        <w:rPr>
          <w:sz w:val="28"/>
          <w:szCs w:val="28"/>
          <w:lang w:val="en-US"/>
        </w:rPr>
      </w:pPr>
      <w:r w:rsidRPr="002A338E">
        <w:rPr>
          <w:sz w:val="28"/>
          <w:szCs w:val="28"/>
          <w:lang w:val="en-US"/>
        </w:rPr>
        <w:t>Hepatitis B surface antigen</w:t>
      </w:r>
    </w:p>
    <w:p w14:paraId="31069517" w14:textId="77777777" w:rsidR="002A338E" w:rsidRPr="002A338E" w:rsidRDefault="002A338E" w:rsidP="002A338E">
      <w:pPr>
        <w:pStyle w:val="BodyA"/>
        <w:numPr>
          <w:ilvl w:val="0"/>
          <w:numId w:val="3"/>
        </w:numPr>
        <w:rPr>
          <w:sz w:val="28"/>
          <w:szCs w:val="28"/>
          <w:lang w:val="en-US"/>
        </w:rPr>
      </w:pPr>
      <w:r w:rsidRPr="002A338E">
        <w:rPr>
          <w:sz w:val="28"/>
          <w:szCs w:val="28"/>
          <w:lang w:val="en-US"/>
        </w:rPr>
        <w:t>Hepatitis C antibody</w:t>
      </w:r>
    </w:p>
    <w:p w14:paraId="64926A92" w14:textId="77777777" w:rsidR="002A338E" w:rsidRPr="002A338E" w:rsidRDefault="002A338E" w:rsidP="002A338E">
      <w:pPr>
        <w:pStyle w:val="BodyA"/>
        <w:rPr>
          <w:sz w:val="28"/>
          <w:szCs w:val="28"/>
          <w:lang w:val="en-US"/>
        </w:rPr>
      </w:pPr>
      <w:r w:rsidRPr="002A338E">
        <w:rPr>
          <w:sz w:val="28"/>
          <w:szCs w:val="28"/>
          <w:lang w:val="en-US"/>
        </w:rPr>
        <w:t>Fighters in Nevada must also be tested for CBC.</w:t>
      </w:r>
    </w:p>
    <w:p w14:paraId="600F4D5C" w14:textId="77777777" w:rsidR="002A338E" w:rsidRPr="002A338E" w:rsidRDefault="002A338E" w:rsidP="002A338E">
      <w:pPr>
        <w:pStyle w:val="BodyA"/>
        <w:rPr>
          <w:sz w:val="28"/>
          <w:szCs w:val="28"/>
          <w:lang w:val="en-US"/>
        </w:rPr>
      </w:pPr>
      <w:r w:rsidRPr="002A338E">
        <w:rPr>
          <w:sz w:val="28"/>
          <w:szCs w:val="28"/>
          <w:lang w:val="en-US"/>
        </w:rPr>
        <w:t>Fighters in New Jersey must also be tested for PT and PTT.</w:t>
      </w:r>
    </w:p>
    <w:p w14:paraId="4617B8F5" w14:textId="77777777" w:rsidR="002A338E" w:rsidRPr="002A338E" w:rsidRDefault="002A338E" w:rsidP="002A338E">
      <w:pPr>
        <w:pStyle w:val="BodyA"/>
        <w:rPr>
          <w:sz w:val="28"/>
          <w:szCs w:val="28"/>
          <w:lang w:val="en-US"/>
        </w:rPr>
      </w:pPr>
      <w:r w:rsidRPr="002A338E">
        <w:rPr>
          <w:sz w:val="28"/>
          <w:szCs w:val="28"/>
          <w:lang w:val="en-US"/>
        </w:rPr>
        <w:t xml:space="preserve">Results are submitted to Bellator and are then submitted to the Athletic Commission governing that </w:t>
      </w:r>
      <w:proofErr w:type="gramStart"/>
      <w:r w:rsidRPr="002A338E">
        <w:rPr>
          <w:sz w:val="28"/>
          <w:szCs w:val="28"/>
          <w:lang w:val="en-US"/>
        </w:rPr>
        <w:t>particular bout</w:t>
      </w:r>
      <w:proofErr w:type="gramEnd"/>
      <w:r w:rsidRPr="002A338E">
        <w:rPr>
          <w:sz w:val="28"/>
          <w:szCs w:val="28"/>
          <w:lang w:val="en-US"/>
        </w:rPr>
        <w:t>.</w:t>
      </w:r>
    </w:p>
    <w:p w14:paraId="71E5AA6A" w14:textId="77777777" w:rsidR="002A338E" w:rsidRDefault="002A338E" w:rsidP="002A338E">
      <w:pPr>
        <w:pStyle w:val="BodyA"/>
        <w:rPr>
          <w:b/>
          <w:sz w:val="28"/>
          <w:szCs w:val="28"/>
          <w:u w:val="single"/>
          <w:lang w:val="en-US"/>
        </w:rPr>
      </w:pPr>
    </w:p>
    <w:p w14:paraId="0C3B1794" w14:textId="77777777" w:rsidR="002A338E" w:rsidRDefault="002A338E" w:rsidP="002A338E">
      <w:pPr>
        <w:pStyle w:val="BodyA"/>
        <w:rPr>
          <w:b/>
          <w:sz w:val="28"/>
          <w:szCs w:val="28"/>
          <w:u w:val="single"/>
          <w:lang w:val="en-US"/>
        </w:rPr>
      </w:pPr>
    </w:p>
    <w:p w14:paraId="0A482884" w14:textId="77777777" w:rsidR="002A338E" w:rsidRDefault="002A338E" w:rsidP="002A338E">
      <w:pPr>
        <w:pStyle w:val="BodyA"/>
        <w:rPr>
          <w:b/>
          <w:sz w:val="28"/>
          <w:szCs w:val="28"/>
          <w:u w:val="single"/>
          <w:lang w:val="en-US"/>
        </w:rPr>
      </w:pPr>
    </w:p>
    <w:p w14:paraId="76759A7C" w14:textId="77777777" w:rsidR="002A338E" w:rsidRDefault="002A338E" w:rsidP="002A338E">
      <w:pPr>
        <w:pStyle w:val="BodyA"/>
        <w:rPr>
          <w:b/>
          <w:sz w:val="28"/>
          <w:szCs w:val="28"/>
          <w:u w:val="single"/>
          <w:lang w:val="en-US"/>
        </w:rPr>
      </w:pPr>
    </w:p>
    <w:p w14:paraId="171F767C" w14:textId="0D46F6C5" w:rsidR="002A338E" w:rsidRPr="002A338E" w:rsidRDefault="002A338E" w:rsidP="002A338E">
      <w:pPr>
        <w:pStyle w:val="BodyA"/>
        <w:rPr>
          <w:b/>
          <w:sz w:val="28"/>
          <w:szCs w:val="28"/>
          <w:u w:val="single"/>
          <w:lang w:val="en-US"/>
        </w:rPr>
      </w:pPr>
      <w:r w:rsidRPr="002A338E">
        <w:rPr>
          <w:b/>
          <w:sz w:val="28"/>
          <w:szCs w:val="28"/>
          <w:u w:val="single"/>
          <w:lang w:val="en-US"/>
        </w:rPr>
        <w:lastRenderedPageBreak/>
        <w:t>Untested Individuals</w:t>
      </w:r>
    </w:p>
    <w:p w14:paraId="2D11209B" w14:textId="77777777" w:rsidR="002A338E" w:rsidRPr="002A338E" w:rsidRDefault="002A338E" w:rsidP="002A338E">
      <w:pPr>
        <w:pStyle w:val="BodyA"/>
        <w:rPr>
          <w:sz w:val="28"/>
          <w:szCs w:val="28"/>
          <w:lang w:val="en-US"/>
        </w:rPr>
      </w:pPr>
      <w:r w:rsidRPr="002A338E">
        <w:rPr>
          <w:sz w:val="28"/>
          <w:szCs w:val="28"/>
          <w:lang w:val="en-US"/>
        </w:rPr>
        <w:t xml:space="preserve">No employees are to touch the blood or other potentially infectious material of another person unless trained in the proper method to protect themselves.  No Bellator employees are authorized to handle blood or other bodily fluids from people other than Bellator fighters.  </w:t>
      </w:r>
    </w:p>
    <w:p w14:paraId="051C9E92" w14:textId="77777777" w:rsidR="002A338E" w:rsidRPr="002A338E" w:rsidRDefault="002A338E" w:rsidP="002A338E">
      <w:pPr>
        <w:pStyle w:val="BodyA"/>
        <w:rPr>
          <w:sz w:val="28"/>
          <w:szCs w:val="28"/>
          <w:lang w:val="en-US"/>
        </w:rPr>
      </w:pPr>
      <w:r w:rsidRPr="002A338E">
        <w:rPr>
          <w:sz w:val="28"/>
          <w:szCs w:val="28"/>
          <w:lang w:val="en-US"/>
        </w:rPr>
        <w:t>Medics and house cleaning crew members are the only persons authorized to handle blood or other potentially infectious materials of untested, non-Bellator fighters.  Neither of these groups are Bellator employees.</w:t>
      </w:r>
    </w:p>
    <w:p w14:paraId="35FC0CB9" w14:textId="77777777" w:rsidR="002A338E" w:rsidRPr="002A338E" w:rsidRDefault="002A338E" w:rsidP="002A338E">
      <w:pPr>
        <w:pStyle w:val="BodyA"/>
        <w:rPr>
          <w:sz w:val="28"/>
          <w:szCs w:val="28"/>
          <w:lang w:val="en-US"/>
        </w:rPr>
      </w:pPr>
      <w:r w:rsidRPr="002A338E">
        <w:rPr>
          <w:sz w:val="28"/>
          <w:szCs w:val="28"/>
          <w:lang w:val="en-US"/>
        </w:rPr>
        <w:t xml:space="preserve">Bellator employees, who are authorized to handle the tested and cleared blood or other bodily fluids of Bellator fighters, are trained and provided with personal protective equipment at no cost to the employee.  Supervisors shall ensure that employees use appropriate personal protective equipment. </w:t>
      </w:r>
    </w:p>
    <w:p w14:paraId="2180EC33" w14:textId="77777777" w:rsidR="002A338E" w:rsidRPr="002A338E" w:rsidRDefault="002A338E" w:rsidP="002A338E">
      <w:pPr>
        <w:pStyle w:val="BodyA"/>
        <w:rPr>
          <w:sz w:val="28"/>
          <w:szCs w:val="28"/>
          <w:lang w:val="en-US"/>
        </w:rPr>
      </w:pPr>
      <w:r w:rsidRPr="002A338E">
        <w:rPr>
          <w:sz w:val="28"/>
          <w:szCs w:val="28"/>
          <w:lang w:val="en-US"/>
        </w:rPr>
        <w:t>Supervisors shall ensure the proper disposal of used personal protective equipment and soiled canvases after each event.  Each venue has disposal procedures for potentially contaminated materials.  Bellator shall follow the venue mandated procedures.</w:t>
      </w:r>
    </w:p>
    <w:p w14:paraId="69F235F2" w14:textId="77777777" w:rsidR="002A338E" w:rsidRPr="002A338E" w:rsidRDefault="002A338E" w:rsidP="002A338E">
      <w:pPr>
        <w:pStyle w:val="BodyA"/>
        <w:rPr>
          <w:sz w:val="28"/>
          <w:szCs w:val="28"/>
          <w:lang w:val="en-US"/>
        </w:rPr>
      </w:pPr>
      <w:r w:rsidRPr="002A338E">
        <w:rPr>
          <w:sz w:val="28"/>
          <w:szCs w:val="28"/>
          <w:lang w:val="en-US"/>
        </w:rPr>
        <w:t xml:space="preserve">Bellator job titles of persons authorized to handle or otherwise potentially </w:t>
      </w:r>
      <w:proofErr w:type="gramStart"/>
      <w:r w:rsidRPr="002A338E">
        <w:rPr>
          <w:sz w:val="28"/>
          <w:szCs w:val="28"/>
          <w:lang w:val="en-US"/>
        </w:rPr>
        <w:t>come in contact with</w:t>
      </w:r>
      <w:proofErr w:type="gramEnd"/>
      <w:r w:rsidRPr="002A338E">
        <w:rPr>
          <w:sz w:val="28"/>
          <w:szCs w:val="28"/>
          <w:lang w:val="en-US"/>
        </w:rPr>
        <w:t xml:space="preserve"> the tested and cleared blood or other bodily fluids of Bellator Fighters:</w:t>
      </w:r>
    </w:p>
    <w:p w14:paraId="0C0C6174" w14:textId="77777777" w:rsidR="002A338E" w:rsidRPr="002A338E" w:rsidRDefault="002A338E" w:rsidP="002A338E">
      <w:pPr>
        <w:pStyle w:val="BodyA"/>
        <w:numPr>
          <w:ilvl w:val="0"/>
          <w:numId w:val="1"/>
        </w:numPr>
        <w:rPr>
          <w:sz w:val="28"/>
          <w:szCs w:val="28"/>
          <w:lang w:val="en-US"/>
        </w:rPr>
      </w:pPr>
      <w:r w:rsidRPr="002A338E">
        <w:rPr>
          <w:sz w:val="28"/>
          <w:szCs w:val="28"/>
          <w:lang w:val="en-US"/>
        </w:rPr>
        <w:t>Fighters</w:t>
      </w:r>
    </w:p>
    <w:p w14:paraId="52035F21" w14:textId="77777777" w:rsidR="002A338E" w:rsidRPr="002A338E" w:rsidRDefault="002A338E" w:rsidP="002A338E">
      <w:pPr>
        <w:pStyle w:val="BodyA"/>
        <w:numPr>
          <w:ilvl w:val="0"/>
          <w:numId w:val="1"/>
        </w:numPr>
        <w:rPr>
          <w:sz w:val="28"/>
          <w:szCs w:val="28"/>
          <w:lang w:val="en-US"/>
        </w:rPr>
      </w:pPr>
      <w:r w:rsidRPr="002A338E">
        <w:rPr>
          <w:sz w:val="28"/>
          <w:szCs w:val="28"/>
          <w:lang w:val="en-US"/>
        </w:rPr>
        <w:t>Referees</w:t>
      </w:r>
    </w:p>
    <w:p w14:paraId="66655379" w14:textId="77777777" w:rsidR="002A338E" w:rsidRPr="002A338E" w:rsidRDefault="002A338E" w:rsidP="002A338E">
      <w:pPr>
        <w:pStyle w:val="BodyA"/>
        <w:numPr>
          <w:ilvl w:val="0"/>
          <w:numId w:val="1"/>
        </w:numPr>
        <w:rPr>
          <w:sz w:val="28"/>
          <w:szCs w:val="28"/>
          <w:lang w:val="en-US"/>
        </w:rPr>
      </w:pPr>
      <w:proofErr w:type="spellStart"/>
      <w:r w:rsidRPr="002A338E">
        <w:rPr>
          <w:sz w:val="28"/>
          <w:szCs w:val="28"/>
          <w:lang w:val="en-US"/>
        </w:rPr>
        <w:t>Cutmen</w:t>
      </w:r>
      <w:proofErr w:type="spellEnd"/>
    </w:p>
    <w:p w14:paraId="584024AB" w14:textId="77777777" w:rsidR="002A338E" w:rsidRPr="002A338E" w:rsidRDefault="002A338E" w:rsidP="002A338E">
      <w:pPr>
        <w:pStyle w:val="BodyA"/>
        <w:numPr>
          <w:ilvl w:val="0"/>
          <w:numId w:val="1"/>
        </w:numPr>
        <w:rPr>
          <w:sz w:val="28"/>
          <w:szCs w:val="28"/>
          <w:lang w:val="en-US"/>
        </w:rPr>
      </w:pPr>
      <w:proofErr w:type="spellStart"/>
      <w:r w:rsidRPr="002A338E">
        <w:rPr>
          <w:sz w:val="28"/>
          <w:szCs w:val="28"/>
          <w:lang w:val="en-US"/>
        </w:rPr>
        <w:t>Canvasmen</w:t>
      </w:r>
      <w:proofErr w:type="spellEnd"/>
      <w:r w:rsidRPr="002A338E">
        <w:rPr>
          <w:sz w:val="28"/>
          <w:szCs w:val="28"/>
          <w:lang w:val="en-US"/>
        </w:rPr>
        <w:t xml:space="preserve">/Cage Techs </w:t>
      </w:r>
    </w:p>
    <w:p w14:paraId="61874A7B" w14:textId="77777777" w:rsidR="002A338E" w:rsidRDefault="002A338E" w:rsidP="002A338E">
      <w:pPr>
        <w:pStyle w:val="BodyA"/>
        <w:rPr>
          <w:b/>
          <w:sz w:val="28"/>
          <w:szCs w:val="28"/>
          <w:u w:val="single"/>
          <w:lang w:val="en-US"/>
        </w:rPr>
      </w:pPr>
    </w:p>
    <w:p w14:paraId="45E0BEA7" w14:textId="77777777" w:rsidR="002A338E" w:rsidRDefault="002A338E" w:rsidP="002A338E">
      <w:pPr>
        <w:pStyle w:val="BodyA"/>
        <w:rPr>
          <w:b/>
          <w:sz w:val="28"/>
          <w:szCs w:val="28"/>
          <w:u w:val="single"/>
          <w:lang w:val="en-US"/>
        </w:rPr>
      </w:pPr>
    </w:p>
    <w:p w14:paraId="2FCB9A8D" w14:textId="1E413025" w:rsidR="002A338E" w:rsidRPr="002A338E" w:rsidRDefault="002A338E" w:rsidP="002A338E">
      <w:pPr>
        <w:pStyle w:val="BodyA"/>
        <w:rPr>
          <w:b/>
          <w:sz w:val="28"/>
          <w:szCs w:val="28"/>
          <w:u w:val="single"/>
          <w:lang w:val="en-US"/>
        </w:rPr>
      </w:pPr>
      <w:r w:rsidRPr="002A338E">
        <w:rPr>
          <w:b/>
          <w:sz w:val="28"/>
          <w:szCs w:val="28"/>
          <w:u w:val="single"/>
          <w:lang w:val="en-US"/>
        </w:rPr>
        <w:lastRenderedPageBreak/>
        <w:t>Training</w:t>
      </w:r>
    </w:p>
    <w:p w14:paraId="30F4D250" w14:textId="77777777" w:rsidR="002A338E" w:rsidRPr="002A338E" w:rsidRDefault="002A338E" w:rsidP="002A338E">
      <w:pPr>
        <w:pStyle w:val="BodyA"/>
        <w:numPr>
          <w:ilvl w:val="0"/>
          <w:numId w:val="6"/>
        </w:numPr>
        <w:rPr>
          <w:sz w:val="24"/>
          <w:szCs w:val="24"/>
        </w:rPr>
      </w:pPr>
      <w:r w:rsidRPr="002A338E">
        <w:rPr>
          <w:b/>
          <w:sz w:val="24"/>
          <w:szCs w:val="24"/>
        </w:rPr>
        <w:t>Fighters</w:t>
      </w:r>
      <w:r w:rsidRPr="002A338E">
        <w:rPr>
          <w:sz w:val="24"/>
          <w:szCs w:val="24"/>
        </w:rPr>
        <w:t xml:space="preserve"> are trained by </w:t>
      </w:r>
      <w:r w:rsidRPr="002A338E">
        <w:rPr>
          <w:sz w:val="24"/>
          <w:szCs w:val="24"/>
          <w:lang w:val="en-US"/>
        </w:rPr>
        <w:t>their coaches/teams.</w:t>
      </w:r>
    </w:p>
    <w:p w14:paraId="3B351EA7" w14:textId="77777777" w:rsidR="002A338E" w:rsidRPr="002A338E" w:rsidRDefault="002A338E" w:rsidP="002A338E">
      <w:pPr>
        <w:pStyle w:val="BodyA"/>
        <w:numPr>
          <w:ilvl w:val="0"/>
          <w:numId w:val="6"/>
        </w:numPr>
        <w:rPr>
          <w:sz w:val="24"/>
          <w:szCs w:val="24"/>
        </w:rPr>
      </w:pPr>
      <w:r w:rsidRPr="002A338E">
        <w:rPr>
          <w:b/>
          <w:sz w:val="24"/>
          <w:szCs w:val="24"/>
        </w:rPr>
        <w:t>Referees</w:t>
      </w:r>
      <w:r w:rsidRPr="002A338E">
        <w:rPr>
          <w:sz w:val="24"/>
          <w:szCs w:val="24"/>
        </w:rPr>
        <w:t xml:space="preserve"> are trained by </w:t>
      </w:r>
      <w:r w:rsidRPr="002A338E">
        <w:rPr>
          <w:sz w:val="24"/>
          <w:szCs w:val="24"/>
          <w:lang w:val="en-US"/>
        </w:rPr>
        <w:t>their governing body.</w:t>
      </w:r>
    </w:p>
    <w:p w14:paraId="7FE5D377" w14:textId="77777777" w:rsidR="002A338E" w:rsidRPr="002A338E" w:rsidRDefault="002A338E" w:rsidP="002A338E">
      <w:pPr>
        <w:pStyle w:val="BodyA"/>
        <w:numPr>
          <w:ilvl w:val="0"/>
          <w:numId w:val="5"/>
        </w:numPr>
        <w:rPr>
          <w:sz w:val="28"/>
          <w:szCs w:val="28"/>
          <w:lang w:val="en-US"/>
        </w:rPr>
      </w:pPr>
      <w:r w:rsidRPr="002A338E">
        <w:rPr>
          <w:b/>
          <w:sz w:val="24"/>
          <w:szCs w:val="24"/>
        </w:rPr>
        <w:t>Cutmen</w:t>
      </w:r>
      <w:r w:rsidRPr="002A338E">
        <w:rPr>
          <w:sz w:val="24"/>
          <w:szCs w:val="24"/>
        </w:rPr>
        <w:t xml:space="preserve"> are required to read and sign their Standard Operating Procedure (SOP), covering the following information:</w:t>
      </w:r>
    </w:p>
    <w:p w14:paraId="2EEE8487" w14:textId="77777777" w:rsidR="002A338E" w:rsidRPr="002A338E" w:rsidRDefault="002A338E" w:rsidP="002A338E">
      <w:pPr>
        <w:pStyle w:val="BodyA"/>
        <w:ind w:firstLine="720"/>
        <w:rPr>
          <w:sz w:val="24"/>
          <w:szCs w:val="24"/>
        </w:rPr>
      </w:pPr>
      <w:r w:rsidRPr="002A338E">
        <w:rPr>
          <w:sz w:val="24"/>
          <w:szCs w:val="24"/>
        </w:rPr>
        <w:t>Blood/Bodily Fluids</w:t>
      </w:r>
    </w:p>
    <w:p w14:paraId="0F5EF21B" w14:textId="77777777" w:rsidR="002A338E" w:rsidRPr="002A338E" w:rsidRDefault="002A338E" w:rsidP="002A338E">
      <w:pPr>
        <w:pStyle w:val="BodyA"/>
        <w:numPr>
          <w:ilvl w:val="0"/>
          <w:numId w:val="4"/>
        </w:numPr>
        <w:rPr>
          <w:sz w:val="24"/>
          <w:szCs w:val="24"/>
        </w:rPr>
      </w:pPr>
      <w:r w:rsidRPr="002A338E">
        <w:rPr>
          <w:sz w:val="24"/>
          <w:szCs w:val="24"/>
        </w:rPr>
        <w:t>Cutmen will wear gloves while assigned to any fight that is currently active in the cage or ring.</w:t>
      </w:r>
    </w:p>
    <w:p w14:paraId="487ABF17" w14:textId="77777777" w:rsidR="002A338E" w:rsidRPr="002A338E" w:rsidRDefault="002A338E" w:rsidP="002A338E">
      <w:pPr>
        <w:pStyle w:val="BodyA"/>
        <w:numPr>
          <w:ilvl w:val="0"/>
          <w:numId w:val="4"/>
        </w:numPr>
        <w:rPr>
          <w:sz w:val="24"/>
          <w:szCs w:val="24"/>
        </w:rPr>
      </w:pPr>
      <w:r w:rsidRPr="002A338E">
        <w:rPr>
          <w:sz w:val="24"/>
          <w:szCs w:val="24"/>
        </w:rPr>
        <w:t>Gloves and towels will be changed between each match to avoid cross contamination.</w:t>
      </w:r>
    </w:p>
    <w:p w14:paraId="2801A18F" w14:textId="77777777" w:rsidR="002A338E" w:rsidRPr="002A338E" w:rsidRDefault="002A338E" w:rsidP="002A338E">
      <w:pPr>
        <w:pStyle w:val="BodyA"/>
        <w:numPr>
          <w:ilvl w:val="0"/>
          <w:numId w:val="4"/>
        </w:numPr>
        <w:rPr>
          <w:sz w:val="24"/>
          <w:szCs w:val="24"/>
        </w:rPr>
      </w:pPr>
      <w:r w:rsidRPr="002A338E">
        <w:rPr>
          <w:sz w:val="24"/>
          <w:szCs w:val="24"/>
        </w:rPr>
        <w:t>Nothing being used to treat a fighter (ie..swabs) will be stored in such a way as to promote cross contamination. Examples of this are swabs in your mouth, behind your ear etc….</w:t>
      </w:r>
    </w:p>
    <w:p w14:paraId="619FBA5F" w14:textId="77777777" w:rsidR="002A338E" w:rsidRPr="002A338E" w:rsidRDefault="002A338E" w:rsidP="002A338E">
      <w:pPr>
        <w:pStyle w:val="BodyA"/>
        <w:numPr>
          <w:ilvl w:val="0"/>
          <w:numId w:val="4"/>
        </w:numPr>
        <w:rPr>
          <w:sz w:val="24"/>
          <w:szCs w:val="24"/>
        </w:rPr>
      </w:pPr>
      <w:r w:rsidRPr="002A338E">
        <w:rPr>
          <w:sz w:val="24"/>
          <w:szCs w:val="24"/>
        </w:rPr>
        <w:t xml:space="preserve">Any materials coming into contact with a fighter during a fight must be disposed of in the provided red biohazard bag </w:t>
      </w:r>
    </w:p>
    <w:p w14:paraId="47BDBD08" w14:textId="77777777" w:rsidR="002A338E" w:rsidRPr="002A338E" w:rsidRDefault="002A338E" w:rsidP="002A338E">
      <w:pPr>
        <w:pStyle w:val="BodyA"/>
        <w:numPr>
          <w:ilvl w:val="0"/>
          <w:numId w:val="4"/>
        </w:numPr>
        <w:rPr>
          <w:sz w:val="24"/>
          <w:szCs w:val="24"/>
        </w:rPr>
      </w:pPr>
      <w:r w:rsidRPr="002A338E">
        <w:rPr>
          <w:sz w:val="24"/>
          <w:szCs w:val="24"/>
        </w:rPr>
        <w:t xml:space="preserve">At the conclusion of the last fight, cutmen will (while wearing gloves), securely tie up the red bag and dispose of it in a facility provided biohazardous waste receptacle. </w:t>
      </w:r>
    </w:p>
    <w:p w14:paraId="5509B2AC" w14:textId="77777777" w:rsidR="002A338E" w:rsidRPr="002A338E" w:rsidRDefault="002A338E" w:rsidP="002A338E">
      <w:pPr>
        <w:pStyle w:val="BodyA"/>
        <w:numPr>
          <w:ilvl w:val="0"/>
          <w:numId w:val="4"/>
        </w:numPr>
        <w:rPr>
          <w:sz w:val="24"/>
          <w:szCs w:val="24"/>
        </w:rPr>
      </w:pPr>
      <w:r w:rsidRPr="002A338E">
        <w:rPr>
          <w:sz w:val="24"/>
          <w:szCs w:val="24"/>
        </w:rPr>
        <w:t>If blood or any other bodily fluid comes into contact with a surface outside of the cage or ring, the cutman should alert the cage tech assigned to that corner so that proper cleanup procedures can be initiated.</w:t>
      </w:r>
    </w:p>
    <w:p w14:paraId="7018575C" w14:textId="59FEE3E2" w:rsidR="002A338E" w:rsidRDefault="002A338E" w:rsidP="002A338E">
      <w:pPr>
        <w:pStyle w:val="BodyA"/>
        <w:ind w:left="1080"/>
        <w:rPr>
          <w:sz w:val="24"/>
          <w:szCs w:val="24"/>
        </w:rPr>
      </w:pPr>
    </w:p>
    <w:p w14:paraId="22793F6D" w14:textId="208308C6" w:rsidR="002A338E" w:rsidRDefault="002A338E" w:rsidP="002A338E">
      <w:pPr>
        <w:pStyle w:val="BodyA"/>
        <w:ind w:left="1080"/>
        <w:rPr>
          <w:sz w:val="24"/>
          <w:szCs w:val="24"/>
        </w:rPr>
      </w:pPr>
    </w:p>
    <w:p w14:paraId="5DF4550A" w14:textId="016F5AEC" w:rsidR="002A338E" w:rsidRDefault="002A338E" w:rsidP="002A338E">
      <w:pPr>
        <w:pStyle w:val="BodyA"/>
        <w:ind w:left="1080"/>
        <w:rPr>
          <w:sz w:val="24"/>
          <w:szCs w:val="24"/>
        </w:rPr>
      </w:pPr>
    </w:p>
    <w:p w14:paraId="27FFADA2" w14:textId="16B4E58A" w:rsidR="002A338E" w:rsidRDefault="002A338E" w:rsidP="002A338E">
      <w:pPr>
        <w:pStyle w:val="BodyA"/>
        <w:ind w:left="1080"/>
        <w:rPr>
          <w:sz w:val="24"/>
          <w:szCs w:val="24"/>
        </w:rPr>
      </w:pPr>
    </w:p>
    <w:p w14:paraId="34D69B44" w14:textId="280F3D69" w:rsidR="002A338E" w:rsidRDefault="002A338E" w:rsidP="002A338E">
      <w:pPr>
        <w:pStyle w:val="BodyA"/>
        <w:ind w:left="1080"/>
        <w:rPr>
          <w:sz w:val="24"/>
          <w:szCs w:val="24"/>
        </w:rPr>
      </w:pPr>
    </w:p>
    <w:p w14:paraId="6BB39BBA" w14:textId="77777777" w:rsidR="002A338E" w:rsidRPr="002A338E" w:rsidRDefault="002A338E" w:rsidP="002A338E">
      <w:pPr>
        <w:pStyle w:val="BodyA"/>
        <w:ind w:left="1080"/>
        <w:rPr>
          <w:sz w:val="24"/>
          <w:szCs w:val="24"/>
        </w:rPr>
      </w:pPr>
    </w:p>
    <w:p w14:paraId="70DC4D52" w14:textId="77777777" w:rsidR="002A338E" w:rsidRPr="002A338E" w:rsidRDefault="002A338E" w:rsidP="002A338E">
      <w:pPr>
        <w:pStyle w:val="BodyA"/>
        <w:numPr>
          <w:ilvl w:val="0"/>
          <w:numId w:val="5"/>
        </w:numPr>
        <w:rPr>
          <w:sz w:val="24"/>
          <w:szCs w:val="24"/>
        </w:rPr>
      </w:pPr>
      <w:r w:rsidRPr="002A338E">
        <w:rPr>
          <w:b/>
          <w:sz w:val="24"/>
          <w:szCs w:val="24"/>
        </w:rPr>
        <w:lastRenderedPageBreak/>
        <w:t>Canvasmen/Cage Techs</w:t>
      </w:r>
      <w:r w:rsidRPr="002A338E">
        <w:rPr>
          <w:sz w:val="24"/>
          <w:szCs w:val="24"/>
        </w:rPr>
        <w:t xml:space="preserve"> are trained annually.  Task specific training includes:</w:t>
      </w:r>
    </w:p>
    <w:p w14:paraId="4E8F2804" w14:textId="77777777" w:rsidR="002A338E" w:rsidRPr="002A338E" w:rsidRDefault="002A338E" w:rsidP="002A338E">
      <w:pPr>
        <w:pStyle w:val="ListParagraph"/>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r w:rsidRPr="002A338E">
        <w:rPr>
          <w:rFonts w:ascii="Calibri" w:hAnsi="Calibri"/>
        </w:rPr>
        <w:t>Procedures for cleaning the canvas between fights</w:t>
      </w:r>
    </w:p>
    <w:p w14:paraId="64FF0A93" w14:textId="77777777" w:rsidR="002A338E" w:rsidRPr="002A338E" w:rsidRDefault="002A338E" w:rsidP="002A338E">
      <w:pPr>
        <w:pStyle w:val="ListParagraph"/>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r w:rsidRPr="002A338E">
        <w:rPr>
          <w:rFonts w:ascii="Calibri" w:hAnsi="Calibri"/>
        </w:rPr>
        <w:t>Procedures for dismantling and disposing of the canvas after a fight.</w:t>
      </w:r>
    </w:p>
    <w:p w14:paraId="2745A38A" w14:textId="77777777" w:rsidR="002A338E" w:rsidRPr="002A338E" w:rsidRDefault="002A338E" w:rsidP="002A338E">
      <w:pPr>
        <w:rPr>
          <w:rFonts w:ascii="Calibri" w:eastAsia="Calibri" w:hAnsi="Calibri" w:cs="Calibri"/>
          <w:color w:val="000000"/>
          <w:u w:color="000000"/>
          <w:lang w:val="pt-PT"/>
        </w:rPr>
      </w:pPr>
    </w:p>
    <w:p w14:paraId="359F9B75" w14:textId="77777777" w:rsidR="002A338E" w:rsidRPr="002A338E" w:rsidRDefault="002A338E" w:rsidP="002A338E">
      <w:pPr>
        <w:rPr>
          <w:rFonts w:ascii="Calibri" w:hAnsi="Calibri"/>
        </w:rPr>
      </w:pPr>
      <w:r w:rsidRPr="002A338E">
        <w:rPr>
          <w:rFonts w:ascii="Calibri" w:hAnsi="Calibri"/>
        </w:rPr>
        <w:t>At minimum, the training should include the following:</w:t>
      </w:r>
    </w:p>
    <w:p w14:paraId="471BA56E" w14:textId="77777777" w:rsidR="002A338E" w:rsidRPr="002A338E" w:rsidRDefault="002A338E" w:rsidP="002A338E">
      <w:pPr>
        <w:rPr>
          <w:rFonts w:ascii="Calibri" w:hAnsi="Calibri"/>
        </w:rPr>
      </w:pPr>
    </w:p>
    <w:p w14:paraId="0AA64335" w14:textId="77777777" w:rsidR="002A338E" w:rsidRPr="002A338E" w:rsidRDefault="002A338E" w:rsidP="002A338E">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r w:rsidRPr="002A338E">
        <w:rPr>
          <w:rFonts w:ascii="Calibri" w:hAnsi="Calibri"/>
        </w:rPr>
        <w:t>Initial hire and annual review training.</w:t>
      </w:r>
    </w:p>
    <w:p w14:paraId="276CFE5B" w14:textId="77777777" w:rsidR="002A338E" w:rsidRPr="002A338E" w:rsidRDefault="002A338E" w:rsidP="002A338E">
      <w:pPr>
        <w:ind w:left="1620"/>
        <w:rPr>
          <w:rFonts w:ascii="Calibri" w:hAnsi="Calibri"/>
        </w:rPr>
      </w:pPr>
    </w:p>
    <w:p w14:paraId="1B66A215" w14:textId="77777777" w:rsidR="002A338E" w:rsidRPr="002A338E" w:rsidRDefault="002A338E" w:rsidP="002A338E">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r w:rsidRPr="002A338E">
        <w:rPr>
          <w:rFonts w:ascii="Calibri" w:hAnsi="Calibri"/>
        </w:rPr>
        <w:t>An accessible copy of the OSHA Bloodborne Pathogen Standard and an explanation of its contents</w:t>
      </w:r>
    </w:p>
    <w:p w14:paraId="4B64BBDF" w14:textId="77777777" w:rsidR="002A338E" w:rsidRPr="002A338E" w:rsidRDefault="002A338E" w:rsidP="002A338E">
      <w:pPr>
        <w:ind w:left="1620"/>
        <w:rPr>
          <w:rFonts w:ascii="Calibri" w:hAnsi="Calibri"/>
        </w:rPr>
      </w:pPr>
    </w:p>
    <w:p w14:paraId="72883559" w14:textId="77777777" w:rsidR="002A338E" w:rsidRPr="002A338E" w:rsidRDefault="002A338E" w:rsidP="002A338E">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bookmarkStart w:id="0" w:name="1910.1030(g)(2)(vii)(B)"/>
      <w:bookmarkEnd w:id="0"/>
      <w:r w:rsidRPr="002A338E">
        <w:rPr>
          <w:rFonts w:ascii="Calibri" w:hAnsi="Calibri"/>
        </w:rPr>
        <w:t>A general explanation of the epidemiology and symptoms of bloodborne diseases</w:t>
      </w:r>
    </w:p>
    <w:p w14:paraId="6E738147" w14:textId="77777777" w:rsidR="002A338E" w:rsidRPr="002A338E" w:rsidRDefault="002A338E" w:rsidP="002A338E">
      <w:pPr>
        <w:ind w:left="1620"/>
        <w:rPr>
          <w:rFonts w:ascii="Calibri" w:hAnsi="Calibri"/>
        </w:rPr>
      </w:pPr>
    </w:p>
    <w:p w14:paraId="60337B00" w14:textId="77777777" w:rsidR="002A338E" w:rsidRPr="002A338E" w:rsidRDefault="002A338E" w:rsidP="002A338E">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bookmarkStart w:id="1" w:name="1910.1030(g)(2)(vii)(C)"/>
      <w:bookmarkEnd w:id="1"/>
      <w:r w:rsidRPr="002A338E">
        <w:rPr>
          <w:rFonts w:ascii="Calibri" w:hAnsi="Calibri"/>
        </w:rPr>
        <w:t>An explanation of the modes of transmission of bloodborne pathogens</w:t>
      </w:r>
    </w:p>
    <w:p w14:paraId="320292BB" w14:textId="77777777" w:rsidR="002A338E" w:rsidRPr="002A338E" w:rsidRDefault="002A338E" w:rsidP="002A338E">
      <w:pPr>
        <w:ind w:left="1620"/>
        <w:rPr>
          <w:rFonts w:ascii="Calibri" w:hAnsi="Calibri"/>
        </w:rPr>
      </w:pPr>
    </w:p>
    <w:p w14:paraId="27C3E0B5" w14:textId="77777777" w:rsidR="002A338E" w:rsidRPr="002A338E" w:rsidRDefault="002A338E" w:rsidP="002A338E">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bookmarkStart w:id="2" w:name="1910.1030(g)(2)(vii)(D)"/>
      <w:bookmarkEnd w:id="2"/>
      <w:r w:rsidRPr="002A338E">
        <w:rPr>
          <w:rFonts w:ascii="Calibri" w:hAnsi="Calibri"/>
        </w:rPr>
        <w:t>An explanation of the Bellator Blood Borne Pathogen Program and information on where to obtain a copy</w:t>
      </w:r>
    </w:p>
    <w:p w14:paraId="20905241" w14:textId="77777777" w:rsidR="002A338E" w:rsidRPr="002A338E" w:rsidRDefault="002A338E" w:rsidP="002A338E">
      <w:pPr>
        <w:ind w:left="1620"/>
        <w:rPr>
          <w:rFonts w:ascii="Calibri" w:hAnsi="Calibri"/>
        </w:rPr>
      </w:pPr>
    </w:p>
    <w:p w14:paraId="5BB03A90" w14:textId="77777777" w:rsidR="002A338E" w:rsidRPr="002A338E" w:rsidRDefault="002A338E" w:rsidP="002A338E">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bookmarkStart w:id="3" w:name="1910.1030(g)(2)(vii)(E)"/>
      <w:bookmarkEnd w:id="3"/>
      <w:r w:rsidRPr="002A338E">
        <w:rPr>
          <w:rFonts w:ascii="Calibri" w:hAnsi="Calibri"/>
        </w:rPr>
        <w:t>An explanation of the appropriate methods for recognizing tasks and other activities that may involve exposure to blood and other potentially infectious materials</w:t>
      </w:r>
    </w:p>
    <w:p w14:paraId="12C393F0" w14:textId="77777777" w:rsidR="002A338E" w:rsidRPr="002A338E" w:rsidRDefault="002A338E" w:rsidP="002A338E">
      <w:pPr>
        <w:ind w:left="1620"/>
        <w:rPr>
          <w:rFonts w:ascii="Calibri" w:hAnsi="Calibri"/>
        </w:rPr>
      </w:pPr>
    </w:p>
    <w:p w14:paraId="740F07B2" w14:textId="77777777" w:rsidR="002A338E" w:rsidRPr="002A338E" w:rsidRDefault="002A338E" w:rsidP="002A338E">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bookmarkStart w:id="4" w:name="1910.1030(g)(2)(vii)(F)"/>
      <w:bookmarkEnd w:id="4"/>
      <w:r w:rsidRPr="002A338E">
        <w:rPr>
          <w:rFonts w:ascii="Calibri" w:hAnsi="Calibri"/>
        </w:rPr>
        <w:t>An explanation of the use and limitations of methods that will prevent or reduce exposure including appropriate engineering controls, work practices, and personal protective equipment</w:t>
      </w:r>
    </w:p>
    <w:p w14:paraId="7FA729A0" w14:textId="77777777" w:rsidR="002A338E" w:rsidRPr="002A338E" w:rsidRDefault="002A338E" w:rsidP="002A338E">
      <w:pPr>
        <w:ind w:left="1620"/>
        <w:rPr>
          <w:rFonts w:ascii="Calibri" w:hAnsi="Calibri"/>
        </w:rPr>
      </w:pPr>
    </w:p>
    <w:p w14:paraId="4AF4E9F7" w14:textId="77777777" w:rsidR="002A338E" w:rsidRPr="002A338E" w:rsidRDefault="002A338E" w:rsidP="002A338E">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bookmarkStart w:id="5" w:name="1910.1030(g)(2)(vii)(G)"/>
      <w:bookmarkStart w:id="6" w:name="1910.1030(g)(2)(vii)(H)"/>
      <w:bookmarkEnd w:id="5"/>
      <w:bookmarkEnd w:id="6"/>
      <w:r w:rsidRPr="002A338E">
        <w:rPr>
          <w:rFonts w:ascii="Calibri" w:hAnsi="Calibri"/>
        </w:rPr>
        <w:t>An explanation of the basis for selection of personal protective equipment</w:t>
      </w:r>
    </w:p>
    <w:p w14:paraId="30C098E6" w14:textId="77777777" w:rsidR="002A338E" w:rsidRPr="002A338E" w:rsidRDefault="002A338E" w:rsidP="002A338E">
      <w:pPr>
        <w:ind w:left="1620"/>
        <w:rPr>
          <w:rFonts w:ascii="Calibri" w:hAnsi="Calibri"/>
        </w:rPr>
      </w:pPr>
    </w:p>
    <w:p w14:paraId="67B6862B" w14:textId="77777777" w:rsidR="002A338E" w:rsidRPr="002A338E" w:rsidRDefault="002A338E" w:rsidP="002A338E">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bookmarkStart w:id="7" w:name="1910.1030(g)(2)(vii)(I)"/>
      <w:bookmarkEnd w:id="7"/>
      <w:r w:rsidRPr="002A338E">
        <w:rPr>
          <w:rFonts w:ascii="Calibri" w:hAnsi="Calibri"/>
        </w:rPr>
        <w:t xml:space="preserve">Information on the types, proper use, location, removal, handling, </w:t>
      </w:r>
      <w:proofErr w:type="gramStart"/>
      <w:r w:rsidRPr="002A338E">
        <w:rPr>
          <w:rFonts w:ascii="Calibri" w:hAnsi="Calibri"/>
        </w:rPr>
        <w:t>decontamination</w:t>
      </w:r>
      <w:proofErr w:type="gramEnd"/>
      <w:r w:rsidRPr="002A338E">
        <w:rPr>
          <w:rFonts w:ascii="Calibri" w:hAnsi="Calibri"/>
        </w:rPr>
        <w:t xml:space="preserve"> and disposal of personal protective equipment</w:t>
      </w:r>
    </w:p>
    <w:p w14:paraId="60461EEC" w14:textId="77777777" w:rsidR="002A338E" w:rsidRPr="002A338E" w:rsidRDefault="002A338E" w:rsidP="002A338E">
      <w:pPr>
        <w:rPr>
          <w:rFonts w:ascii="Calibri" w:hAnsi="Calibri"/>
        </w:rPr>
      </w:pPr>
    </w:p>
    <w:p w14:paraId="7D1D34DF" w14:textId="77777777" w:rsidR="002A338E" w:rsidRPr="002A338E" w:rsidRDefault="002A338E" w:rsidP="002A338E">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bookmarkStart w:id="8" w:name="1910.1030(g)(2)(vii)(M)"/>
      <w:bookmarkEnd w:id="8"/>
      <w:r w:rsidRPr="002A338E">
        <w:rPr>
          <w:rFonts w:ascii="Calibri" w:hAnsi="Calibri"/>
        </w:rPr>
        <w:t>An explanation of the signs and labels and/or color coding required for contaminated items</w:t>
      </w:r>
    </w:p>
    <w:p w14:paraId="648259DA" w14:textId="77777777" w:rsidR="002A338E" w:rsidRPr="002A338E" w:rsidRDefault="002A338E" w:rsidP="002A338E">
      <w:pPr>
        <w:ind w:left="1620"/>
        <w:rPr>
          <w:rFonts w:ascii="Calibri" w:hAnsi="Calibri"/>
        </w:rPr>
      </w:pPr>
    </w:p>
    <w:p w14:paraId="4D690816" w14:textId="77777777" w:rsidR="002A338E" w:rsidRDefault="002A338E" w:rsidP="002A338E">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bookmarkStart w:id="9" w:name="1910.1030(g)(2)(vii)(N)"/>
      <w:bookmarkEnd w:id="9"/>
      <w:r w:rsidRPr="002A338E">
        <w:rPr>
          <w:rFonts w:ascii="Calibri" w:hAnsi="Calibri"/>
        </w:rPr>
        <w:t>Task-specific training</w:t>
      </w:r>
    </w:p>
    <w:p w14:paraId="516823EF" w14:textId="77777777" w:rsidR="002A338E" w:rsidRDefault="002A338E" w:rsidP="002A338E">
      <w:pPr>
        <w:pStyle w:val="ListParagraph"/>
        <w:rPr>
          <w:rFonts w:ascii="Calibri" w:hAnsi="Calibri"/>
        </w:rPr>
      </w:pPr>
    </w:p>
    <w:p w14:paraId="3B8BA65C" w14:textId="56B3DE6E" w:rsidR="002A338E" w:rsidRPr="002A338E" w:rsidRDefault="002A338E" w:rsidP="002A338E">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r w:rsidRPr="002A338E">
        <w:rPr>
          <w:rFonts w:ascii="Calibri" w:hAnsi="Calibri"/>
        </w:rPr>
        <w:t>An opportunity for interactive questions and answers with the person conducting the training session</w:t>
      </w:r>
    </w:p>
    <w:p w14:paraId="7779E232" w14:textId="77777777" w:rsidR="002A338E" w:rsidRPr="002A338E" w:rsidRDefault="002A338E" w:rsidP="002A338E">
      <w:pPr>
        <w:pStyle w:val="ListParagraph"/>
        <w:rPr>
          <w:sz w:val="28"/>
          <w:szCs w:val="28"/>
        </w:rPr>
      </w:pPr>
    </w:p>
    <w:p w14:paraId="4A860BD5" w14:textId="77777777" w:rsidR="002A338E" w:rsidRPr="002A338E" w:rsidRDefault="002A338E" w:rsidP="002A338E">
      <w:pPr>
        <w:pStyle w:val="BodyA"/>
        <w:rPr>
          <w:b/>
          <w:sz w:val="24"/>
          <w:szCs w:val="24"/>
          <w:u w:val="single"/>
        </w:rPr>
      </w:pPr>
      <w:r w:rsidRPr="002A338E">
        <w:rPr>
          <w:b/>
          <w:sz w:val="24"/>
          <w:szCs w:val="24"/>
          <w:u w:val="single"/>
        </w:rPr>
        <w:lastRenderedPageBreak/>
        <w:t>Definitions:</w:t>
      </w:r>
    </w:p>
    <w:p w14:paraId="1380BBC1" w14:textId="77777777" w:rsidR="002A338E" w:rsidRPr="002A338E" w:rsidRDefault="002A338E" w:rsidP="002A338E">
      <w:pPr>
        <w:pStyle w:val="BodyA"/>
        <w:rPr>
          <w:sz w:val="24"/>
          <w:szCs w:val="28"/>
        </w:rPr>
      </w:pPr>
      <w:r w:rsidRPr="002A338E">
        <w:rPr>
          <w:b/>
          <w:bCs/>
          <w:iCs/>
          <w:sz w:val="24"/>
          <w:szCs w:val="28"/>
        </w:rPr>
        <w:t>Blood</w:t>
      </w:r>
      <w:r w:rsidRPr="002A338E">
        <w:rPr>
          <w:sz w:val="24"/>
          <w:szCs w:val="28"/>
        </w:rPr>
        <w:t xml:space="preserve"> means human blood, human blood components, and products made from human blood. </w:t>
      </w:r>
      <w:r w:rsidRPr="002A338E">
        <w:rPr>
          <w:sz w:val="24"/>
          <w:szCs w:val="28"/>
        </w:rPr>
        <w:br/>
      </w:r>
      <w:r w:rsidRPr="002A338E">
        <w:rPr>
          <w:sz w:val="24"/>
          <w:szCs w:val="28"/>
        </w:rPr>
        <w:br/>
      </w:r>
      <w:r w:rsidRPr="002A338E">
        <w:rPr>
          <w:b/>
          <w:bCs/>
          <w:iCs/>
          <w:sz w:val="24"/>
          <w:szCs w:val="28"/>
        </w:rPr>
        <w:t>Bloodborne Pathogens</w:t>
      </w:r>
      <w:r w:rsidRPr="002A338E">
        <w:rPr>
          <w:sz w:val="24"/>
          <w:szCs w:val="28"/>
        </w:rPr>
        <w:t xml:space="preserve"> means pathogenic microorganisms that are present in human blood and can cause disease in humans. These pathogens include, but are not limited to, hepatitis B virus (HBV) and human immunodeficiency virus (HIV).</w:t>
      </w:r>
    </w:p>
    <w:p w14:paraId="4CAF98A1" w14:textId="77777777" w:rsidR="002A338E" w:rsidRPr="002A338E" w:rsidRDefault="002A338E" w:rsidP="002A338E">
      <w:pPr>
        <w:pStyle w:val="BodyA"/>
        <w:rPr>
          <w:sz w:val="24"/>
          <w:szCs w:val="24"/>
          <w:lang w:val="en-US"/>
        </w:rPr>
      </w:pPr>
      <w:r w:rsidRPr="002A338E">
        <w:rPr>
          <w:b/>
          <w:bCs/>
          <w:iCs/>
          <w:sz w:val="24"/>
          <w:szCs w:val="24"/>
          <w:lang w:val="en-US"/>
        </w:rPr>
        <w:t>Other Potentially Infectious Materials</w:t>
      </w:r>
      <w:r w:rsidRPr="002A338E">
        <w:rPr>
          <w:sz w:val="24"/>
          <w:szCs w:val="24"/>
          <w:lang w:val="en-US"/>
        </w:rPr>
        <w:t xml:space="preserve"> means </w:t>
      </w:r>
    </w:p>
    <w:p w14:paraId="077F3734" w14:textId="77777777" w:rsidR="002A338E" w:rsidRPr="002A338E" w:rsidRDefault="002A338E" w:rsidP="002A338E">
      <w:pPr>
        <w:pStyle w:val="BodyA"/>
        <w:rPr>
          <w:sz w:val="24"/>
          <w:szCs w:val="24"/>
          <w:lang w:val="en-US"/>
        </w:rPr>
      </w:pPr>
      <w:r w:rsidRPr="002A338E">
        <w:rPr>
          <w:sz w:val="24"/>
          <w:szCs w:val="24"/>
          <w:lang w:val="en-US"/>
        </w:rPr>
        <w:tab/>
        <w:t xml:space="preserve">(1) The following human body fluids: semen, vaginal secretions, </w:t>
      </w:r>
      <w:r w:rsidRPr="002A338E">
        <w:rPr>
          <w:sz w:val="24"/>
          <w:szCs w:val="24"/>
          <w:lang w:val="en-US"/>
        </w:rPr>
        <w:tab/>
        <w:t xml:space="preserve">cerebrospinal fluid, synovial fluid, pleural fluid, pericardial fluid, peritoneal </w:t>
      </w:r>
      <w:r w:rsidRPr="002A338E">
        <w:rPr>
          <w:sz w:val="24"/>
          <w:szCs w:val="24"/>
          <w:lang w:val="en-US"/>
        </w:rPr>
        <w:tab/>
        <w:t>fluid, amniotic fluid, saliva in dental procedures, any bodily fluid that is visibly contaminated with blood, and all body fluids in situations where it is difficult or impossible to differentiate between body fluids</w:t>
      </w:r>
    </w:p>
    <w:p w14:paraId="367569C8" w14:textId="77777777" w:rsidR="002A338E" w:rsidRPr="002A338E" w:rsidRDefault="002A338E" w:rsidP="002A338E">
      <w:pPr>
        <w:pStyle w:val="BodyA"/>
        <w:rPr>
          <w:sz w:val="24"/>
          <w:szCs w:val="24"/>
          <w:lang w:val="en-US"/>
        </w:rPr>
      </w:pPr>
      <w:r w:rsidRPr="002A338E">
        <w:rPr>
          <w:sz w:val="24"/>
          <w:szCs w:val="24"/>
          <w:lang w:val="en-US"/>
        </w:rPr>
        <w:tab/>
        <w:t>(2) Any unfixed tissue or organ (other than intact skin) from a human (living or dead)</w:t>
      </w:r>
    </w:p>
    <w:p w14:paraId="5167F7B8" w14:textId="77777777" w:rsidR="002A338E" w:rsidRPr="002A338E" w:rsidRDefault="002A338E" w:rsidP="002A338E">
      <w:pPr>
        <w:pStyle w:val="BodyA"/>
        <w:rPr>
          <w:sz w:val="24"/>
          <w:szCs w:val="28"/>
        </w:rPr>
      </w:pPr>
      <w:r w:rsidRPr="002A338E">
        <w:rPr>
          <w:b/>
          <w:bCs/>
          <w:iCs/>
          <w:sz w:val="24"/>
          <w:szCs w:val="28"/>
        </w:rPr>
        <w:t>Personal Protective Equipment</w:t>
      </w:r>
      <w:r w:rsidRPr="002A338E">
        <w:rPr>
          <w:sz w:val="24"/>
          <w:szCs w:val="28"/>
        </w:rPr>
        <w:t xml:space="preserve"> is specialized clothing or equipment worn by an employee for protection against a hazard. General work clothes (e.g., uniforms, pants, shirts or blouses) not intended to function as protection against a hazard, are not considered to be personal protective equipment.</w:t>
      </w:r>
    </w:p>
    <w:p w14:paraId="1C97346C" w14:textId="77777777" w:rsidR="002A338E" w:rsidRPr="002A338E" w:rsidRDefault="002A338E" w:rsidP="002A338E">
      <w:pPr>
        <w:pStyle w:val="BodyA"/>
        <w:rPr>
          <w:sz w:val="24"/>
          <w:szCs w:val="24"/>
        </w:rPr>
      </w:pPr>
      <w:r w:rsidRPr="002A338E">
        <w:rPr>
          <w:b/>
          <w:bCs/>
          <w:iCs/>
          <w:sz w:val="24"/>
          <w:szCs w:val="28"/>
        </w:rPr>
        <w:t>Universal Precautions</w:t>
      </w:r>
      <w:r w:rsidRPr="002A338E">
        <w:rPr>
          <w:sz w:val="24"/>
          <w:szCs w:val="28"/>
        </w:rPr>
        <w:t xml:space="preserve"> is an approach to infection control. According to the concept of Universal Precautions, all human blood and certain human body fluids are treated as if known to be infectious for HIV, HBV, and other bloodborne pathogens.</w:t>
      </w:r>
    </w:p>
    <w:p w14:paraId="050582B6" w14:textId="40A25745" w:rsidR="00EC7D92" w:rsidRPr="002A338E" w:rsidRDefault="00EC7D92">
      <w:pPr>
        <w:pStyle w:val="Body"/>
        <w:rPr>
          <w:sz w:val="28"/>
          <w:szCs w:val="26"/>
        </w:rPr>
      </w:pPr>
    </w:p>
    <w:sectPr w:rsidR="00EC7D92" w:rsidRPr="002A338E">
      <w:headerReference w:type="default" r:id="rId7"/>
      <w:footerReference w:type="default" r:id="rId8"/>
      <w:pgSz w:w="12240" w:h="15840"/>
      <w:pgMar w:top="1440" w:right="1440" w:bottom="1440" w:left="1440" w:header="18" w:footer="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DCC19" w14:textId="77777777" w:rsidR="00DF6342" w:rsidRDefault="00DF6342">
      <w:r>
        <w:separator/>
      </w:r>
    </w:p>
  </w:endnote>
  <w:endnote w:type="continuationSeparator" w:id="0">
    <w:p w14:paraId="553B0D9A" w14:textId="77777777" w:rsidR="00DF6342" w:rsidRDefault="00DF6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CADF2" w14:textId="77777777" w:rsidR="00EC7D92" w:rsidRDefault="00000000">
    <w:pPr>
      <w:pStyle w:val="Footer"/>
      <w:tabs>
        <w:tab w:val="clear" w:pos="9360"/>
        <w:tab w:val="right" w:pos="9340"/>
      </w:tabs>
    </w:pPr>
    <w:r>
      <w:rPr>
        <w:noProof/>
      </w:rPr>
      <w:drawing>
        <wp:inline distT="0" distB="0" distL="0" distR="0" wp14:anchorId="68EBB349" wp14:editId="3549EFA1">
          <wp:extent cx="5943473" cy="825483"/>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1"/>
                  <a:stretch>
                    <a:fillRect/>
                  </a:stretch>
                </pic:blipFill>
                <pic:spPr>
                  <a:xfrm>
                    <a:off x="0" y="0"/>
                    <a:ext cx="5943473" cy="825483"/>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A0F01" w14:textId="77777777" w:rsidR="00DF6342" w:rsidRDefault="00DF6342">
      <w:r>
        <w:separator/>
      </w:r>
    </w:p>
  </w:footnote>
  <w:footnote w:type="continuationSeparator" w:id="0">
    <w:p w14:paraId="63796AB1" w14:textId="77777777" w:rsidR="00DF6342" w:rsidRDefault="00DF6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44414" w14:textId="77777777" w:rsidR="00EC7D92" w:rsidRDefault="00000000">
    <w:pPr>
      <w:pStyle w:val="Header"/>
      <w:tabs>
        <w:tab w:val="clear" w:pos="9360"/>
        <w:tab w:val="right" w:pos="9340"/>
      </w:tabs>
    </w:pPr>
    <w:r>
      <w:rPr>
        <w:noProof/>
      </w:rPr>
      <w:drawing>
        <wp:inline distT="0" distB="0" distL="0" distR="0" wp14:anchorId="2465D8CF" wp14:editId="723B52FD">
          <wp:extent cx="5943473" cy="1405457"/>
          <wp:effectExtent l="0" t="0" r="0" b="0"/>
          <wp:docPr id="1073741825" name="officeArt object" descr="Picture 3"/>
          <wp:cNvGraphicFramePr/>
          <a:graphic xmlns:a="http://schemas.openxmlformats.org/drawingml/2006/main">
            <a:graphicData uri="http://schemas.openxmlformats.org/drawingml/2006/picture">
              <pic:pic xmlns:pic="http://schemas.openxmlformats.org/drawingml/2006/picture">
                <pic:nvPicPr>
                  <pic:cNvPr id="1073741825" name="Picture 3" descr="Picture 3"/>
                  <pic:cNvPicPr>
                    <a:picLocks noChangeAspect="1"/>
                  </pic:cNvPicPr>
                </pic:nvPicPr>
                <pic:blipFill>
                  <a:blip r:embed="rId1"/>
                  <a:stretch>
                    <a:fillRect/>
                  </a:stretch>
                </pic:blipFill>
                <pic:spPr>
                  <a:xfrm>
                    <a:off x="0" y="0"/>
                    <a:ext cx="5943473" cy="1405457"/>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362C6"/>
    <w:multiLevelType w:val="hybridMultilevel"/>
    <w:tmpl w:val="61AC80F6"/>
    <w:lvl w:ilvl="0" w:tplc="4BD6B85E">
      <w:start w:val="1"/>
      <w:numFmt w:val="upperRoman"/>
      <w:lvlText w:val="%1."/>
      <w:lvlJc w:val="left"/>
      <w:pPr>
        <w:tabs>
          <w:tab w:val="num" w:pos="720"/>
        </w:tabs>
        <w:ind w:left="720" w:hanging="720"/>
      </w:pPr>
      <w:rPr>
        <w:rFonts w:hint="default"/>
      </w:rPr>
    </w:lvl>
    <w:lvl w:ilvl="1" w:tplc="3D72B774">
      <w:start w:val="1"/>
      <w:numFmt w:val="upperLetter"/>
      <w:lvlText w:val="%2."/>
      <w:lvlJc w:val="left"/>
      <w:pPr>
        <w:tabs>
          <w:tab w:val="num" w:pos="1440"/>
        </w:tabs>
        <w:ind w:left="1440" w:hanging="720"/>
      </w:pPr>
      <w:rPr>
        <w:rFonts w:hint="default"/>
      </w:rPr>
    </w:lvl>
    <w:lvl w:ilvl="2" w:tplc="C88C2950">
      <w:start w:val="1"/>
      <w:numFmt w:val="decimal"/>
      <w:lvlText w:val="%3."/>
      <w:lvlJc w:val="left"/>
      <w:pPr>
        <w:tabs>
          <w:tab w:val="num" w:pos="2340"/>
        </w:tabs>
        <w:ind w:left="2340" w:hanging="720"/>
      </w:pPr>
      <w:rPr>
        <w:rFonts w:hint="default"/>
      </w:rPr>
    </w:lvl>
    <w:lvl w:ilvl="3" w:tplc="0409000F">
      <w:start w:val="1"/>
      <w:numFmt w:val="decimal"/>
      <w:lvlText w:val="%4."/>
      <w:lvlJc w:val="left"/>
      <w:pPr>
        <w:tabs>
          <w:tab w:val="num" w:pos="2520"/>
        </w:tabs>
        <w:ind w:left="2520" w:hanging="360"/>
      </w:pPr>
      <w:rPr>
        <w:rFonts w:hint="default"/>
      </w:r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CDC608D"/>
    <w:multiLevelType w:val="hybridMultilevel"/>
    <w:tmpl w:val="CFA0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44101C"/>
    <w:multiLevelType w:val="hybridMultilevel"/>
    <w:tmpl w:val="90A6DA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BD61DA1"/>
    <w:multiLevelType w:val="hybridMultilevel"/>
    <w:tmpl w:val="D8049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3761E8"/>
    <w:multiLevelType w:val="hybridMultilevel"/>
    <w:tmpl w:val="791C92B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BF6E24"/>
    <w:multiLevelType w:val="hybridMultilevel"/>
    <w:tmpl w:val="694E4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4993697">
    <w:abstractNumId w:val="5"/>
  </w:num>
  <w:num w:numId="2" w16cid:durableId="369845476">
    <w:abstractNumId w:val="0"/>
  </w:num>
  <w:num w:numId="3" w16cid:durableId="1083185106">
    <w:abstractNumId w:val="3"/>
  </w:num>
  <w:num w:numId="4" w16cid:durableId="354313603">
    <w:abstractNumId w:val="2"/>
  </w:num>
  <w:num w:numId="5" w16cid:durableId="491457886">
    <w:abstractNumId w:val="4"/>
  </w:num>
  <w:num w:numId="6" w16cid:durableId="20798147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D92"/>
    <w:rsid w:val="002A338E"/>
    <w:rsid w:val="00DF6342"/>
    <w:rsid w:val="00EC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DF5F0"/>
  <w15:docId w15:val="{4AECC35F-09B5-4531-BD47-4C225A06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rPr>
  </w:style>
  <w:style w:type="paragraph" w:styleId="Footer">
    <w:name w:val="footer"/>
    <w:pPr>
      <w:tabs>
        <w:tab w:val="center" w:pos="4680"/>
        <w:tab w:val="right" w:pos="9360"/>
      </w:tabs>
    </w:pPr>
    <w:rPr>
      <w:rFonts w:ascii="Calibri" w:hAnsi="Calibri" w:cs="Arial Unicode MS"/>
      <w:color w:val="000000"/>
      <w:sz w:val="24"/>
      <w:szCs w:val="24"/>
      <w:u w:color="000000"/>
    </w:rPr>
  </w:style>
  <w:style w:type="paragraph" w:customStyle="1" w:styleId="Body">
    <w:name w:val="Body"/>
    <w:rPr>
      <w:rFonts w:ascii="Calibri" w:hAnsi="Calibri" w:cs="Arial Unicode MS"/>
      <w:color w:val="000000"/>
      <w:sz w:val="24"/>
      <w:szCs w:val="24"/>
      <w:u w:color="000000"/>
      <w14:textOutline w14:w="0" w14:cap="flat" w14:cmpd="sng" w14:algn="ctr">
        <w14:noFill/>
        <w14:prstDash w14:val="solid"/>
        <w14:bevel/>
      </w14:textOutline>
    </w:rPr>
  </w:style>
  <w:style w:type="paragraph" w:customStyle="1" w:styleId="BodyA">
    <w:name w:val="Body A"/>
    <w:rsid w:val="002A338E"/>
    <w:pPr>
      <w:spacing w:after="200" w:line="276" w:lineRule="auto"/>
    </w:pPr>
    <w:rPr>
      <w:rFonts w:ascii="Calibri" w:eastAsia="Calibri" w:hAnsi="Calibri" w:cs="Calibri"/>
      <w:color w:val="000000"/>
      <w:sz w:val="22"/>
      <w:szCs w:val="22"/>
      <w:u w:color="000000"/>
      <w:lang w:val="pt-PT"/>
    </w:rPr>
  </w:style>
  <w:style w:type="paragraph" w:styleId="ListParagraph">
    <w:name w:val="List Paragraph"/>
    <w:basedOn w:val="Normal"/>
    <w:uiPriority w:val="34"/>
    <w:qFormat/>
    <w:rsid w:val="002A33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898</Words>
  <Characters>5125</Characters>
  <Application>Microsoft Office Word</Application>
  <DocSecurity>0</DocSecurity>
  <Lines>42</Lines>
  <Paragraphs>12</Paragraphs>
  <ScaleCrop>false</ScaleCrop>
  <Company/>
  <LinksUpToDate>false</LinksUpToDate>
  <CharactersWithSpaces>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Velvin, Christopher</cp:lastModifiedBy>
  <cp:revision>2</cp:revision>
  <dcterms:created xsi:type="dcterms:W3CDTF">2023-06-05T15:31:00Z</dcterms:created>
  <dcterms:modified xsi:type="dcterms:W3CDTF">2023-06-05T15:37:00Z</dcterms:modified>
</cp:coreProperties>
</file>